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eastAsia="黑体"/>
          <w:sz w:val="32"/>
          <w:szCs w:val="32"/>
        </w:rPr>
      </w:pPr>
      <w:r>
        <w:rPr>
          <w:rFonts w:eastAsia="黑体"/>
          <w:sz w:val="32"/>
          <w:szCs w:val="32"/>
        </w:rPr>
        <w:t>附件3</w:t>
      </w:r>
    </w:p>
    <w:p>
      <w:pPr>
        <w:adjustRightInd w:val="0"/>
        <w:snapToGrid w:val="0"/>
        <w:spacing w:line="360" w:lineRule="auto"/>
        <w:jc w:val="center"/>
        <w:rPr>
          <w:rFonts w:ascii="黑体" w:hAnsi="黑体" w:eastAsia="黑体" w:cs="黑体"/>
          <w:b/>
          <w:sz w:val="36"/>
          <w:szCs w:val="36"/>
        </w:rPr>
      </w:pPr>
      <w:bookmarkStart w:id="2" w:name="_GoBack"/>
      <w:bookmarkStart w:id="0" w:name="_Hlk97112511"/>
      <w:r>
        <w:rPr>
          <w:rFonts w:hint="eastAsia" w:ascii="黑体" w:hAnsi="黑体" w:eastAsia="黑体" w:cs="黑体"/>
          <w:sz w:val="36"/>
          <w:szCs w:val="36"/>
        </w:rPr>
        <w:t>高校合同节水管理项目统计表</w:t>
      </w:r>
      <w:bookmarkEnd w:id="0"/>
    </w:p>
    <w:bookmarkEnd w:id="2"/>
    <w:p>
      <w:pPr>
        <w:adjustRightInd w:val="0"/>
        <w:snapToGrid w:val="0"/>
        <w:spacing w:line="360" w:lineRule="auto"/>
        <w:ind w:left="4319" w:leftChars="228" w:hanging="3840" w:hangingChars="1600"/>
        <w:jc w:val="left"/>
        <w:rPr>
          <w:rFonts w:ascii="仿宋" w:hAnsi="仿宋" w:eastAsia="仿宋" w:cs="仿宋"/>
          <w:sz w:val="24"/>
          <w:szCs w:val="24"/>
        </w:rPr>
      </w:pPr>
      <w:bookmarkStart w:id="1" w:name="_Hlk67607121"/>
      <w:r>
        <w:rPr>
          <w:rFonts w:hint="eastAsia" w:ascii="仿宋" w:hAnsi="仿宋" w:eastAsia="仿宋" w:cs="仿宋"/>
          <w:color w:val="000000"/>
          <w:kern w:val="0"/>
          <w:sz w:val="24"/>
          <w:szCs w:val="24"/>
          <w:u w:val="single"/>
        </w:rPr>
        <w:t xml:space="preserve"> ( 盖章） </w:t>
      </w:r>
      <w:r>
        <w:rPr>
          <w:rFonts w:hint="eastAsia" w:ascii="仿宋" w:hAnsi="仿宋" w:eastAsia="仿宋" w:cs="仿宋"/>
          <w:color w:val="000000"/>
          <w:kern w:val="0"/>
          <w:sz w:val="24"/>
          <w:szCs w:val="24"/>
        </w:rPr>
        <w:t>市</w:t>
      </w:r>
      <w:r>
        <w:rPr>
          <w:rFonts w:hint="eastAsia" w:ascii="仿宋" w:hAnsi="仿宋" w:eastAsia="仿宋" w:cs="仿宋"/>
          <w:sz w:val="24"/>
          <w:szCs w:val="24"/>
        </w:rPr>
        <w:t xml:space="preserve">水利（水务）局                </w:t>
      </w:r>
      <w:r>
        <w:rPr>
          <w:rFonts w:ascii="仿宋" w:hAnsi="仿宋" w:eastAsia="仿宋" w:cs="仿宋"/>
          <w:sz w:val="24"/>
          <w:szCs w:val="24"/>
        </w:rPr>
        <w:t xml:space="preserve">            </w:t>
      </w:r>
      <w:r>
        <w:rPr>
          <w:rFonts w:hint="eastAsia" w:ascii="仿宋" w:hAnsi="仿宋" w:eastAsia="仿宋" w:cs="仿宋"/>
          <w:sz w:val="24"/>
          <w:szCs w:val="24"/>
        </w:rPr>
        <w:t xml:space="preserve">    填写人：          联系电话： </w:t>
      </w:r>
      <w:r>
        <w:rPr>
          <w:rFonts w:ascii="仿宋" w:hAnsi="仿宋" w:eastAsia="仿宋" w:cs="仿宋"/>
          <w:sz w:val="24"/>
          <w:szCs w:val="24"/>
        </w:rPr>
        <w:t xml:space="preserve">               </w:t>
      </w:r>
    </w:p>
    <w:bookmarkEnd w:id="1"/>
    <w:tbl>
      <w:tblPr>
        <w:tblStyle w:val="4"/>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8"/>
        <w:gridCol w:w="1279"/>
        <w:gridCol w:w="950"/>
        <w:gridCol w:w="874"/>
        <w:gridCol w:w="1288"/>
        <w:gridCol w:w="1198"/>
        <w:gridCol w:w="1159"/>
        <w:gridCol w:w="1017"/>
        <w:gridCol w:w="1064"/>
        <w:gridCol w:w="1685"/>
        <w:gridCol w:w="1690"/>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518" w:type="dxa"/>
            <w:vMerge w:val="restart"/>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序号</w:t>
            </w:r>
          </w:p>
        </w:tc>
        <w:tc>
          <w:tcPr>
            <w:tcW w:w="1279" w:type="dxa"/>
            <w:vMerge w:val="restart"/>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项目名称</w:t>
            </w:r>
          </w:p>
        </w:tc>
        <w:tc>
          <w:tcPr>
            <w:tcW w:w="1824" w:type="dxa"/>
            <w:gridSpan w:val="2"/>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合同甲乙双方</w:t>
            </w:r>
          </w:p>
        </w:tc>
        <w:tc>
          <w:tcPr>
            <w:tcW w:w="1288" w:type="dxa"/>
            <w:vMerge w:val="restart"/>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建设内容</w:t>
            </w:r>
          </w:p>
        </w:tc>
        <w:tc>
          <w:tcPr>
            <w:tcW w:w="1198" w:type="dxa"/>
            <w:vMerge w:val="restart"/>
            <w:vAlign w:val="center"/>
          </w:tcPr>
          <w:p>
            <w:pPr>
              <w:widowControl/>
              <w:autoSpaceDE w:val="0"/>
              <w:autoSpaceDN w:val="0"/>
              <w:adjustRightInd w:val="0"/>
              <w:snapToGrid w:val="0"/>
              <w:jc w:val="center"/>
              <w:rPr>
                <w:rFonts w:ascii="仿宋_GB2312" w:hAnsi="黑体" w:eastAsia="仿宋_GB2312"/>
                <w:color w:val="333333"/>
                <w:kern w:val="0"/>
                <w:sz w:val="24"/>
                <w:szCs w:val="24"/>
                <w:lang w:eastAsia="zh-CN"/>
              </w:rPr>
            </w:pPr>
            <w:r>
              <w:rPr>
                <w:rFonts w:hint="eastAsia" w:ascii="仿宋_GB2312" w:hAnsi="黑体" w:eastAsia="仿宋_GB2312"/>
                <w:color w:val="333333"/>
                <w:kern w:val="0"/>
                <w:sz w:val="24"/>
                <w:szCs w:val="24"/>
                <w:lang w:eastAsia="zh-CN"/>
              </w:rPr>
              <w:t>签约时间或计划签约时间</w:t>
            </w:r>
          </w:p>
        </w:tc>
        <w:tc>
          <w:tcPr>
            <w:tcW w:w="1159" w:type="dxa"/>
            <w:vMerge w:val="restart"/>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投资额</w:t>
            </w:r>
          </w:p>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（万元）</w:t>
            </w:r>
          </w:p>
        </w:tc>
        <w:tc>
          <w:tcPr>
            <w:tcW w:w="1017" w:type="dxa"/>
            <w:vMerge w:val="restart"/>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合同节水模式</w:t>
            </w:r>
          </w:p>
        </w:tc>
        <w:tc>
          <w:tcPr>
            <w:tcW w:w="1064" w:type="dxa"/>
            <w:vMerge w:val="restart"/>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合同期</w:t>
            </w:r>
          </w:p>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（年）</w:t>
            </w:r>
          </w:p>
        </w:tc>
        <w:tc>
          <w:tcPr>
            <w:tcW w:w="1685" w:type="dxa"/>
            <w:vMerge w:val="restart"/>
            <w:vAlign w:val="center"/>
          </w:tcPr>
          <w:p>
            <w:pPr>
              <w:widowControl/>
              <w:autoSpaceDE w:val="0"/>
              <w:autoSpaceDN w:val="0"/>
              <w:adjustRightInd w:val="0"/>
              <w:snapToGrid w:val="0"/>
              <w:jc w:val="center"/>
              <w:rPr>
                <w:rFonts w:ascii="仿宋_GB2312" w:hAnsi="黑体" w:eastAsia="仿宋_GB2312"/>
                <w:color w:val="333333"/>
                <w:kern w:val="0"/>
                <w:sz w:val="24"/>
                <w:szCs w:val="24"/>
                <w:lang w:eastAsia="zh-CN"/>
              </w:rPr>
            </w:pPr>
            <w:r>
              <w:rPr>
                <w:rFonts w:hint="eastAsia" w:ascii="仿宋_GB2312" w:hAnsi="黑体" w:eastAsia="仿宋_GB2312"/>
                <w:color w:val="333333"/>
                <w:kern w:val="0"/>
                <w:sz w:val="24"/>
                <w:szCs w:val="24"/>
                <w:lang w:eastAsia="zh-CN"/>
              </w:rPr>
              <w:t>项目实施前用水量</w:t>
            </w:r>
          </w:p>
          <w:p>
            <w:pPr>
              <w:widowControl/>
              <w:autoSpaceDE w:val="0"/>
              <w:autoSpaceDN w:val="0"/>
              <w:adjustRightInd w:val="0"/>
              <w:snapToGrid w:val="0"/>
              <w:jc w:val="center"/>
              <w:rPr>
                <w:rFonts w:ascii="仿宋_GB2312" w:hAnsi="黑体" w:eastAsia="仿宋_GB2312"/>
                <w:color w:val="333333"/>
                <w:kern w:val="0"/>
                <w:sz w:val="24"/>
                <w:szCs w:val="24"/>
                <w:lang w:eastAsia="zh-CN"/>
              </w:rPr>
            </w:pPr>
            <w:r>
              <w:rPr>
                <w:rFonts w:hint="eastAsia" w:ascii="仿宋_GB2312" w:hAnsi="黑体" w:eastAsia="仿宋_GB2312"/>
                <w:color w:val="333333"/>
                <w:kern w:val="0"/>
                <w:sz w:val="24"/>
                <w:szCs w:val="24"/>
                <w:lang w:eastAsia="zh-CN"/>
              </w:rPr>
              <w:t>（万 m</w:t>
            </w:r>
            <w:r>
              <w:rPr>
                <w:rFonts w:hint="eastAsia" w:ascii="仿宋_GB2312" w:hAnsi="黑体" w:eastAsia="仿宋_GB2312"/>
                <w:color w:val="333333"/>
                <w:kern w:val="0"/>
                <w:sz w:val="24"/>
                <w:szCs w:val="24"/>
                <w:vertAlign w:val="superscript"/>
                <w:lang w:eastAsia="zh-CN"/>
              </w:rPr>
              <w:t>3</w:t>
            </w:r>
            <w:r>
              <w:rPr>
                <w:rFonts w:hint="eastAsia" w:ascii="仿宋_GB2312" w:hAnsi="黑体" w:eastAsia="仿宋_GB2312"/>
                <w:color w:val="333333"/>
                <w:kern w:val="0"/>
                <w:sz w:val="24"/>
                <w:szCs w:val="24"/>
                <w:lang w:eastAsia="zh-CN"/>
              </w:rPr>
              <w:t>/ 年）</w:t>
            </w:r>
          </w:p>
        </w:tc>
        <w:tc>
          <w:tcPr>
            <w:tcW w:w="1690" w:type="dxa"/>
            <w:vMerge w:val="restart"/>
            <w:vAlign w:val="center"/>
          </w:tcPr>
          <w:p>
            <w:pPr>
              <w:widowControl/>
              <w:autoSpaceDE w:val="0"/>
              <w:autoSpaceDN w:val="0"/>
              <w:adjustRightInd w:val="0"/>
              <w:snapToGrid w:val="0"/>
              <w:jc w:val="center"/>
              <w:rPr>
                <w:rFonts w:ascii="仿宋_GB2312" w:hAnsi="黑体" w:eastAsia="仿宋_GB2312"/>
                <w:color w:val="333333"/>
                <w:kern w:val="0"/>
                <w:sz w:val="24"/>
                <w:szCs w:val="24"/>
                <w:lang w:eastAsia="zh-CN"/>
              </w:rPr>
            </w:pPr>
            <w:r>
              <w:rPr>
                <w:rFonts w:hint="eastAsia" w:ascii="仿宋_GB2312" w:hAnsi="黑体" w:eastAsia="仿宋_GB2312"/>
                <w:color w:val="333333"/>
                <w:kern w:val="0"/>
                <w:sz w:val="24"/>
                <w:szCs w:val="24"/>
                <w:lang w:eastAsia="zh-CN"/>
              </w:rPr>
              <w:t>节水量或预期节水量</w:t>
            </w:r>
          </w:p>
          <w:p>
            <w:pPr>
              <w:widowControl/>
              <w:autoSpaceDE w:val="0"/>
              <w:autoSpaceDN w:val="0"/>
              <w:adjustRightInd w:val="0"/>
              <w:snapToGrid w:val="0"/>
              <w:jc w:val="center"/>
              <w:rPr>
                <w:rFonts w:ascii="仿宋_GB2312" w:hAnsi="黑体" w:eastAsia="仿宋_GB2312"/>
                <w:color w:val="333333"/>
                <w:kern w:val="0"/>
                <w:sz w:val="24"/>
                <w:szCs w:val="24"/>
                <w:lang w:eastAsia="zh-CN"/>
              </w:rPr>
            </w:pPr>
            <w:r>
              <w:rPr>
                <w:rFonts w:hint="eastAsia" w:ascii="仿宋_GB2312" w:hAnsi="黑体" w:eastAsia="仿宋_GB2312"/>
                <w:color w:val="333333"/>
                <w:kern w:val="0"/>
                <w:sz w:val="24"/>
                <w:szCs w:val="24"/>
                <w:lang w:eastAsia="zh-CN"/>
              </w:rPr>
              <w:t>（万 m</w:t>
            </w:r>
            <w:r>
              <w:rPr>
                <w:rFonts w:hint="eastAsia" w:ascii="仿宋_GB2312" w:hAnsi="黑体" w:eastAsia="仿宋_GB2312"/>
                <w:color w:val="333333"/>
                <w:kern w:val="0"/>
                <w:sz w:val="24"/>
                <w:szCs w:val="24"/>
                <w:vertAlign w:val="superscript"/>
                <w:lang w:eastAsia="zh-CN"/>
              </w:rPr>
              <w:t>3</w:t>
            </w:r>
            <w:r>
              <w:rPr>
                <w:rFonts w:hint="eastAsia" w:ascii="仿宋_GB2312" w:hAnsi="黑体" w:eastAsia="仿宋_GB2312"/>
                <w:color w:val="333333"/>
                <w:kern w:val="0"/>
                <w:sz w:val="24"/>
                <w:szCs w:val="24"/>
                <w:lang w:eastAsia="zh-CN"/>
              </w:rPr>
              <w:t>/ 年）</w:t>
            </w:r>
          </w:p>
        </w:tc>
        <w:tc>
          <w:tcPr>
            <w:tcW w:w="1246" w:type="dxa"/>
            <w:vMerge w:val="restart"/>
            <w:vAlign w:val="center"/>
          </w:tcPr>
          <w:p>
            <w:pPr>
              <w:widowControl/>
              <w:autoSpaceDE w:val="0"/>
              <w:autoSpaceDN w:val="0"/>
              <w:adjustRightInd w:val="0"/>
              <w:snapToGrid w:val="0"/>
              <w:jc w:val="center"/>
              <w:rPr>
                <w:rFonts w:ascii="仿宋_GB2312" w:hAnsi="黑体" w:eastAsia="仿宋_GB2312"/>
                <w:color w:val="333333"/>
                <w:kern w:val="0"/>
                <w:sz w:val="24"/>
                <w:szCs w:val="24"/>
                <w:lang w:eastAsia="zh-CN"/>
              </w:rPr>
            </w:pPr>
            <w:r>
              <w:rPr>
                <w:rFonts w:hint="eastAsia" w:ascii="仿宋_GB2312" w:hAnsi="黑体" w:eastAsia="仿宋_GB2312"/>
                <w:color w:val="333333"/>
                <w:kern w:val="0"/>
                <w:sz w:val="24"/>
                <w:szCs w:val="24"/>
                <w:lang w:eastAsia="zh-CN"/>
              </w:rPr>
              <w:t>直接经济</w:t>
            </w:r>
          </w:p>
          <w:p>
            <w:pPr>
              <w:widowControl/>
              <w:autoSpaceDE w:val="0"/>
              <w:autoSpaceDN w:val="0"/>
              <w:adjustRightInd w:val="0"/>
              <w:snapToGrid w:val="0"/>
              <w:jc w:val="center"/>
              <w:rPr>
                <w:rFonts w:ascii="仿宋_GB2312" w:hAnsi="黑体" w:eastAsia="仿宋_GB2312"/>
                <w:color w:val="333333"/>
                <w:kern w:val="0"/>
                <w:sz w:val="24"/>
                <w:szCs w:val="24"/>
                <w:lang w:eastAsia="zh-CN"/>
              </w:rPr>
            </w:pPr>
            <w:r>
              <w:rPr>
                <w:rFonts w:hint="eastAsia" w:ascii="仿宋_GB2312" w:hAnsi="黑体" w:eastAsia="仿宋_GB2312"/>
                <w:color w:val="333333"/>
                <w:kern w:val="0"/>
                <w:sz w:val="24"/>
                <w:szCs w:val="24"/>
                <w:lang w:eastAsia="zh-CN"/>
              </w:rPr>
              <w:t>效益</w:t>
            </w:r>
          </w:p>
          <w:p>
            <w:pPr>
              <w:widowControl/>
              <w:autoSpaceDE w:val="0"/>
              <w:autoSpaceDN w:val="0"/>
              <w:adjustRightInd w:val="0"/>
              <w:snapToGrid w:val="0"/>
              <w:jc w:val="center"/>
              <w:rPr>
                <w:rFonts w:ascii="仿宋_GB2312" w:hAnsi="黑体" w:eastAsia="仿宋_GB2312"/>
                <w:color w:val="333333"/>
                <w:kern w:val="0"/>
                <w:sz w:val="24"/>
                <w:szCs w:val="24"/>
                <w:lang w:eastAsia="zh-CN"/>
              </w:rPr>
            </w:pPr>
            <w:r>
              <w:rPr>
                <w:rFonts w:hint="eastAsia" w:ascii="仿宋_GB2312" w:hAnsi="黑体" w:eastAsia="仿宋_GB2312"/>
                <w:color w:val="333333"/>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0" w:hRule="atLeast"/>
        </w:trPr>
        <w:tc>
          <w:tcPr>
            <w:tcW w:w="518" w:type="dxa"/>
            <w:vMerge w:val="continue"/>
            <w:vAlign w:val="center"/>
          </w:tcPr>
          <w:p>
            <w:pPr>
              <w:widowControl/>
              <w:autoSpaceDE w:val="0"/>
              <w:autoSpaceDN/>
              <w:adjustRightInd w:val="0"/>
              <w:snapToGrid w:val="0"/>
              <w:jc w:val="center"/>
              <w:rPr>
                <w:rFonts w:ascii="仿宋_GB2312" w:hAnsi="黑体" w:eastAsia="仿宋_GB2312"/>
                <w:color w:val="333333"/>
                <w:kern w:val="0"/>
                <w:sz w:val="24"/>
                <w:szCs w:val="24"/>
                <w:lang w:eastAsia="zh-CN"/>
              </w:rPr>
            </w:pPr>
          </w:p>
        </w:tc>
        <w:tc>
          <w:tcPr>
            <w:tcW w:w="1279" w:type="dxa"/>
            <w:vMerge w:val="continue"/>
            <w:vAlign w:val="center"/>
          </w:tcPr>
          <w:p>
            <w:pPr>
              <w:widowControl/>
              <w:autoSpaceDE w:val="0"/>
              <w:autoSpaceDN/>
              <w:adjustRightInd w:val="0"/>
              <w:snapToGrid w:val="0"/>
              <w:jc w:val="center"/>
              <w:rPr>
                <w:rFonts w:ascii="仿宋_GB2312" w:hAnsi="黑体" w:eastAsia="仿宋_GB2312"/>
                <w:color w:val="333333"/>
                <w:kern w:val="0"/>
                <w:sz w:val="24"/>
                <w:szCs w:val="24"/>
                <w:lang w:eastAsia="zh-CN"/>
              </w:rPr>
            </w:pPr>
          </w:p>
        </w:tc>
        <w:tc>
          <w:tcPr>
            <w:tcW w:w="950" w:type="dxa"/>
            <w:vAlign w:val="center"/>
          </w:tcPr>
          <w:p>
            <w:pPr>
              <w:pStyle w:val="5"/>
              <w:widowControl/>
              <w:autoSpaceDN/>
              <w:adjustRightInd w:val="0"/>
              <w:snapToGrid w:val="0"/>
              <w:ind w:left="102"/>
              <w:jc w:val="center"/>
              <w:rPr>
                <w:rFonts w:ascii="仿宋_GB2312" w:hAnsi="黑体" w:eastAsia="仿宋_GB2312" w:cs="Times New Roman"/>
                <w:color w:val="333333"/>
                <w:sz w:val="24"/>
                <w:szCs w:val="24"/>
                <w:lang w:eastAsia="zh-CN"/>
              </w:rPr>
            </w:pPr>
            <w:r>
              <w:rPr>
                <w:rFonts w:hint="eastAsia" w:ascii="仿宋_GB2312" w:hAnsi="黑体" w:eastAsia="仿宋_GB2312" w:cs="Times New Roman"/>
                <w:color w:val="333333"/>
                <w:sz w:val="24"/>
                <w:szCs w:val="24"/>
                <w:lang w:eastAsia="zh-CN"/>
              </w:rPr>
              <w:t>甲方</w:t>
            </w:r>
          </w:p>
        </w:tc>
        <w:tc>
          <w:tcPr>
            <w:tcW w:w="874" w:type="dxa"/>
            <w:vAlign w:val="center"/>
          </w:tcPr>
          <w:p>
            <w:pPr>
              <w:pStyle w:val="5"/>
              <w:widowControl/>
              <w:autoSpaceDN/>
              <w:adjustRightInd w:val="0"/>
              <w:snapToGrid w:val="0"/>
              <w:spacing w:before="63" w:line="310" w:lineRule="atLeast"/>
              <w:ind w:left="109" w:firstLine="1"/>
              <w:jc w:val="center"/>
              <w:rPr>
                <w:rFonts w:ascii="仿宋_GB2312" w:hAnsi="黑体" w:eastAsia="仿宋_GB2312" w:cs="Times New Roman"/>
                <w:color w:val="333333"/>
                <w:sz w:val="24"/>
                <w:szCs w:val="24"/>
                <w:lang w:eastAsia="zh-CN"/>
              </w:rPr>
            </w:pPr>
            <w:r>
              <w:rPr>
                <w:rFonts w:hint="eastAsia" w:ascii="仿宋_GB2312" w:hAnsi="黑体" w:eastAsia="仿宋_GB2312" w:cs="Times New Roman"/>
                <w:color w:val="333333"/>
                <w:sz w:val="24"/>
                <w:szCs w:val="24"/>
                <w:lang w:eastAsia="zh-CN"/>
              </w:rPr>
              <w:t>节水服务企业</w:t>
            </w:r>
          </w:p>
        </w:tc>
        <w:tc>
          <w:tcPr>
            <w:tcW w:w="1288" w:type="dxa"/>
            <w:vMerge w:val="continue"/>
            <w:vAlign w:val="center"/>
          </w:tcPr>
          <w:p>
            <w:pPr>
              <w:widowControl/>
              <w:autoSpaceDE w:val="0"/>
              <w:autoSpaceDN/>
              <w:adjustRightInd w:val="0"/>
              <w:snapToGrid w:val="0"/>
              <w:jc w:val="center"/>
              <w:rPr>
                <w:rFonts w:ascii="仿宋_GB2312" w:hAnsi="黑体" w:eastAsia="仿宋_GB2312"/>
                <w:color w:val="333333"/>
                <w:kern w:val="0"/>
                <w:sz w:val="24"/>
                <w:szCs w:val="24"/>
                <w:lang w:eastAsia="en-US"/>
              </w:rPr>
            </w:pPr>
          </w:p>
        </w:tc>
        <w:tc>
          <w:tcPr>
            <w:tcW w:w="1198" w:type="dxa"/>
            <w:vMerge w:val="continue"/>
            <w:vAlign w:val="center"/>
          </w:tcPr>
          <w:p>
            <w:pPr>
              <w:widowControl/>
              <w:autoSpaceDE w:val="0"/>
              <w:autoSpaceDN/>
              <w:adjustRightInd w:val="0"/>
              <w:snapToGrid w:val="0"/>
              <w:jc w:val="center"/>
              <w:rPr>
                <w:rFonts w:ascii="仿宋_GB2312" w:hAnsi="黑体" w:eastAsia="仿宋_GB2312"/>
                <w:color w:val="333333"/>
                <w:kern w:val="0"/>
                <w:sz w:val="24"/>
                <w:szCs w:val="24"/>
                <w:lang w:eastAsia="en-US"/>
              </w:rPr>
            </w:pPr>
          </w:p>
        </w:tc>
        <w:tc>
          <w:tcPr>
            <w:tcW w:w="1159" w:type="dxa"/>
            <w:vMerge w:val="continue"/>
            <w:vAlign w:val="center"/>
          </w:tcPr>
          <w:p>
            <w:pPr>
              <w:widowControl/>
              <w:autoSpaceDE w:val="0"/>
              <w:autoSpaceDN/>
              <w:adjustRightInd w:val="0"/>
              <w:snapToGrid w:val="0"/>
              <w:jc w:val="center"/>
              <w:rPr>
                <w:rFonts w:ascii="仿宋_GB2312" w:hAnsi="黑体" w:eastAsia="仿宋_GB2312"/>
                <w:color w:val="333333"/>
                <w:kern w:val="0"/>
                <w:sz w:val="24"/>
                <w:szCs w:val="24"/>
                <w:lang w:eastAsia="en-US"/>
              </w:rPr>
            </w:pPr>
          </w:p>
        </w:tc>
        <w:tc>
          <w:tcPr>
            <w:tcW w:w="1017" w:type="dxa"/>
            <w:vMerge w:val="continue"/>
            <w:vAlign w:val="center"/>
          </w:tcPr>
          <w:p>
            <w:pPr>
              <w:widowControl/>
              <w:autoSpaceDE w:val="0"/>
              <w:autoSpaceDN/>
              <w:adjustRightInd w:val="0"/>
              <w:snapToGrid w:val="0"/>
              <w:jc w:val="center"/>
              <w:rPr>
                <w:rFonts w:ascii="仿宋_GB2312" w:hAnsi="黑体" w:eastAsia="仿宋_GB2312"/>
                <w:color w:val="333333"/>
                <w:kern w:val="0"/>
                <w:sz w:val="24"/>
                <w:szCs w:val="24"/>
                <w:lang w:eastAsia="en-US"/>
              </w:rPr>
            </w:pPr>
          </w:p>
        </w:tc>
        <w:tc>
          <w:tcPr>
            <w:tcW w:w="1064" w:type="dxa"/>
            <w:vMerge w:val="continue"/>
            <w:vAlign w:val="center"/>
          </w:tcPr>
          <w:p>
            <w:pPr>
              <w:widowControl/>
              <w:autoSpaceDE w:val="0"/>
              <w:autoSpaceDN/>
              <w:adjustRightInd w:val="0"/>
              <w:snapToGrid w:val="0"/>
              <w:jc w:val="center"/>
              <w:rPr>
                <w:rFonts w:ascii="仿宋_GB2312" w:hAnsi="黑体" w:eastAsia="仿宋_GB2312"/>
                <w:color w:val="333333"/>
                <w:kern w:val="0"/>
                <w:sz w:val="24"/>
                <w:szCs w:val="24"/>
                <w:lang w:eastAsia="en-US"/>
              </w:rPr>
            </w:pPr>
          </w:p>
        </w:tc>
        <w:tc>
          <w:tcPr>
            <w:tcW w:w="1685" w:type="dxa"/>
            <w:vMerge w:val="continue"/>
            <w:vAlign w:val="center"/>
          </w:tcPr>
          <w:p>
            <w:pPr>
              <w:widowControl/>
              <w:autoSpaceDE w:val="0"/>
              <w:autoSpaceDN/>
              <w:adjustRightInd w:val="0"/>
              <w:snapToGrid w:val="0"/>
              <w:jc w:val="center"/>
              <w:rPr>
                <w:rFonts w:ascii="仿宋_GB2312" w:hAnsi="黑体" w:eastAsia="仿宋_GB2312"/>
                <w:color w:val="333333"/>
                <w:kern w:val="0"/>
                <w:sz w:val="24"/>
                <w:szCs w:val="24"/>
                <w:lang w:eastAsia="en-US"/>
              </w:rPr>
            </w:pPr>
          </w:p>
        </w:tc>
        <w:tc>
          <w:tcPr>
            <w:tcW w:w="1690" w:type="dxa"/>
            <w:vMerge w:val="continue"/>
            <w:vAlign w:val="center"/>
          </w:tcPr>
          <w:p>
            <w:pPr>
              <w:widowControl/>
              <w:autoSpaceDE w:val="0"/>
              <w:autoSpaceDN/>
              <w:adjustRightInd w:val="0"/>
              <w:snapToGrid w:val="0"/>
              <w:jc w:val="center"/>
              <w:rPr>
                <w:rFonts w:ascii="仿宋_GB2312" w:hAnsi="黑体" w:eastAsia="仿宋_GB2312"/>
                <w:color w:val="333333"/>
                <w:kern w:val="0"/>
                <w:sz w:val="24"/>
                <w:szCs w:val="24"/>
                <w:lang w:eastAsia="en-US"/>
              </w:rPr>
            </w:pPr>
          </w:p>
        </w:tc>
        <w:tc>
          <w:tcPr>
            <w:tcW w:w="1246" w:type="dxa"/>
            <w:vMerge w:val="continue"/>
            <w:vAlign w:val="center"/>
          </w:tcPr>
          <w:p>
            <w:pPr>
              <w:widowControl/>
              <w:autoSpaceDE w:val="0"/>
              <w:autoSpaceDN/>
              <w:adjustRightInd w:val="0"/>
              <w:snapToGrid w:val="0"/>
              <w:jc w:val="center"/>
              <w:rPr>
                <w:rFonts w:ascii="仿宋_GB2312" w:hAnsi="黑体" w:eastAsia="仿宋_GB2312"/>
                <w:color w:val="333333"/>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0" w:hRule="atLeast"/>
        </w:trPr>
        <w:tc>
          <w:tcPr>
            <w:tcW w:w="518"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1</w:t>
            </w:r>
          </w:p>
        </w:tc>
        <w:tc>
          <w:tcPr>
            <w:tcW w:w="1279"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950"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874"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288"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198"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159"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017"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064"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685"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690"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246"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trPr>
        <w:tc>
          <w:tcPr>
            <w:tcW w:w="518"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2</w:t>
            </w:r>
          </w:p>
        </w:tc>
        <w:tc>
          <w:tcPr>
            <w:tcW w:w="1279"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950"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874"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288"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198"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159"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017"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064"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685"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690"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246"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0" w:hRule="atLeast"/>
        </w:trPr>
        <w:tc>
          <w:tcPr>
            <w:tcW w:w="518"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3</w:t>
            </w:r>
          </w:p>
        </w:tc>
        <w:tc>
          <w:tcPr>
            <w:tcW w:w="1279"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950"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874"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288"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198"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159"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017"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064"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685"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690"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246"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0" w:hRule="atLeast"/>
        </w:trPr>
        <w:tc>
          <w:tcPr>
            <w:tcW w:w="518"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r>
              <w:rPr>
                <w:rFonts w:hint="eastAsia" w:ascii="仿宋_GB2312" w:hAnsi="黑体" w:eastAsia="仿宋_GB2312"/>
                <w:color w:val="333333"/>
                <w:kern w:val="0"/>
                <w:sz w:val="24"/>
                <w:szCs w:val="24"/>
                <w:lang w:eastAsia="en-US"/>
              </w:rPr>
              <w:t>……</w:t>
            </w:r>
          </w:p>
        </w:tc>
        <w:tc>
          <w:tcPr>
            <w:tcW w:w="1279"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950"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874"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288"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198"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159"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017"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064"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685"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690"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c>
          <w:tcPr>
            <w:tcW w:w="1246" w:type="dxa"/>
            <w:vAlign w:val="center"/>
          </w:tcPr>
          <w:p>
            <w:pPr>
              <w:widowControl/>
              <w:autoSpaceDE w:val="0"/>
              <w:autoSpaceDN w:val="0"/>
              <w:adjustRightInd w:val="0"/>
              <w:snapToGrid w:val="0"/>
              <w:jc w:val="center"/>
              <w:rPr>
                <w:rFonts w:ascii="仿宋_GB2312" w:hAnsi="黑体" w:eastAsia="仿宋_GB2312"/>
                <w:color w:val="333333"/>
                <w:kern w:val="0"/>
                <w:sz w:val="24"/>
                <w:szCs w:val="24"/>
                <w:lang w:eastAsia="en-US"/>
              </w:rPr>
            </w:pPr>
          </w:p>
        </w:tc>
      </w:tr>
    </w:tbl>
    <w:p>
      <w:pPr>
        <w:jc w:val="center"/>
        <w:rPr>
          <w:rFonts w:ascii="仿宋" w:hAnsi="仿宋" w:eastAsia="仿宋" w:cs="仿宋"/>
          <w:b/>
          <w:bCs/>
          <w:color w:val="000000"/>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ascii="仿宋" w:hAnsi="仿宋" w:eastAsia="仿宋" w:cs="仿宋"/>
          <w:b/>
          <w:bCs/>
          <w:color w:val="000000"/>
          <w:sz w:val="24"/>
          <w:szCs w:val="24"/>
        </w:rPr>
      </w:pPr>
      <w:r>
        <w:rPr>
          <w:rFonts w:hint="eastAsia" w:ascii="仿宋" w:hAnsi="仿宋" w:eastAsia="仿宋" w:cs="仿宋"/>
          <w:b/>
          <w:bCs/>
          <w:color w:val="000000"/>
          <w:sz w:val="24"/>
          <w:szCs w:val="24"/>
        </w:rPr>
        <w:t>填表说明：</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jc w:val="both"/>
        <w:textAlignment w:val="auto"/>
        <w:outlineLvl w:val="9"/>
        <w:rPr>
          <w:rFonts w:ascii="仿宋" w:hAnsi="仿宋" w:eastAsia="仿宋" w:cs="仿宋"/>
          <w:color w:val="000000"/>
          <w:sz w:val="24"/>
          <w:szCs w:val="24"/>
        </w:rPr>
      </w:pPr>
      <w:r>
        <w:rPr>
          <w:rFonts w:hint="eastAsia" w:ascii="仿宋" w:hAnsi="仿宋" w:eastAsia="仿宋" w:cs="仿宋"/>
          <w:color w:val="000000"/>
          <w:sz w:val="24"/>
          <w:szCs w:val="24"/>
        </w:rPr>
        <w:t>1</w:t>
      </w:r>
      <w:r>
        <w:rPr>
          <w:rFonts w:ascii="仿宋" w:hAnsi="仿宋" w:eastAsia="仿宋" w:cs="仿宋"/>
          <w:color w:val="000000"/>
          <w:sz w:val="24"/>
          <w:szCs w:val="24"/>
        </w:rPr>
        <w:t>.</w:t>
      </w:r>
      <w:r>
        <w:rPr>
          <w:rFonts w:hint="eastAsia" w:ascii="仿宋" w:hAnsi="仿宋" w:eastAsia="仿宋" w:cs="仿宋"/>
          <w:color w:val="000000"/>
          <w:sz w:val="24"/>
          <w:szCs w:val="24"/>
        </w:rPr>
        <w:t>统计范围为已实施或计划签订合同的项目。</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jc w:val="both"/>
        <w:textAlignment w:val="auto"/>
        <w:outlineLvl w:val="9"/>
        <w:rPr>
          <w:rFonts w:ascii="仿宋" w:hAnsi="仿宋" w:eastAsia="仿宋" w:cs="仿宋"/>
          <w:color w:val="000000"/>
          <w:sz w:val="24"/>
          <w:szCs w:val="24"/>
        </w:rPr>
      </w:pPr>
      <w:r>
        <w:rPr>
          <w:rFonts w:hint="eastAsia" w:ascii="仿宋" w:hAnsi="仿宋" w:eastAsia="仿宋" w:cs="仿宋"/>
          <w:color w:val="000000"/>
          <w:sz w:val="24"/>
          <w:szCs w:val="24"/>
        </w:rPr>
        <w:t>2</w:t>
      </w:r>
      <w:r>
        <w:rPr>
          <w:rFonts w:ascii="仿宋" w:hAnsi="仿宋" w:eastAsia="仿宋" w:cs="仿宋"/>
          <w:color w:val="000000"/>
          <w:sz w:val="24"/>
          <w:szCs w:val="24"/>
        </w:rPr>
        <w:t>.</w:t>
      </w:r>
      <w:r>
        <w:rPr>
          <w:rFonts w:hint="eastAsia" w:ascii="仿宋" w:hAnsi="仿宋" w:eastAsia="仿宋" w:cs="仿宋"/>
          <w:color w:val="000000"/>
          <w:sz w:val="24"/>
          <w:szCs w:val="24"/>
        </w:rPr>
        <w:t>建设内容：简要填写签订合同节水项目合同中的建设内容，如管网漏损治理、用水器具改造、直饮水热水浴室改造、用水监控平台建设、非常规水源利用等。</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jc w:val="both"/>
        <w:textAlignment w:val="auto"/>
        <w:outlineLvl w:val="9"/>
        <w:rPr>
          <w:rFonts w:ascii="仿宋" w:hAnsi="仿宋" w:eastAsia="仿宋" w:cs="仿宋"/>
          <w:color w:val="000000"/>
          <w:sz w:val="24"/>
          <w:szCs w:val="24"/>
        </w:rPr>
      </w:pPr>
      <w:r>
        <w:rPr>
          <w:rFonts w:hint="eastAsia" w:ascii="仿宋" w:hAnsi="仿宋" w:eastAsia="仿宋" w:cs="仿宋"/>
          <w:color w:val="000000"/>
          <w:sz w:val="24"/>
          <w:szCs w:val="24"/>
        </w:rPr>
        <w:t>3</w:t>
      </w:r>
      <w:r>
        <w:rPr>
          <w:rFonts w:ascii="仿宋" w:hAnsi="仿宋" w:eastAsia="仿宋" w:cs="仿宋"/>
          <w:color w:val="000000"/>
          <w:sz w:val="24"/>
          <w:szCs w:val="24"/>
        </w:rPr>
        <w:t>.</w:t>
      </w:r>
      <w:r>
        <w:rPr>
          <w:rFonts w:hint="eastAsia" w:ascii="仿宋" w:hAnsi="仿宋" w:eastAsia="仿宋" w:cs="仿宋"/>
          <w:color w:val="000000"/>
          <w:sz w:val="24"/>
          <w:szCs w:val="24"/>
        </w:rPr>
        <w:t>合同节水模式包括节水效益分享型、节水效果保证型、用水费用托管型、资源置换型等。</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jc w:val="both"/>
        <w:textAlignment w:val="auto"/>
        <w:outlineLvl w:val="9"/>
        <w:rPr>
          <w:rFonts w:ascii="仿宋" w:hAnsi="仿宋" w:eastAsia="仿宋" w:cs="仿宋"/>
          <w:color w:val="000000"/>
          <w:sz w:val="24"/>
          <w:szCs w:val="24"/>
        </w:rPr>
      </w:pPr>
      <w:r>
        <w:rPr>
          <w:rFonts w:hint="eastAsia" w:ascii="仿宋" w:hAnsi="仿宋" w:eastAsia="仿宋" w:cs="仿宋"/>
          <w:color w:val="000000"/>
          <w:sz w:val="24"/>
          <w:szCs w:val="24"/>
        </w:rPr>
        <w:t>4</w:t>
      </w:r>
      <w:r>
        <w:rPr>
          <w:rFonts w:ascii="仿宋" w:hAnsi="仿宋" w:eastAsia="仿宋" w:cs="仿宋"/>
          <w:color w:val="000000"/>
          <w:sz w:val="24"/>
          <w:szCs w:val="24"/>
        </w:rPr>
        <w:t>.</w:t>
      </w:r>
      <w:r>
        <w:rPr>
          <w:rFonts w:hint="eastAsia" w:ascii="仿宋" w:hAnsi="仿宋" w:eastAsia="仿宋" w:cs="仿宋"/>
          <w:color w:val="000000"/>
          <w:sz w:val="24"/>
          <w:szCs w:val="24"/>
        </w:rPr>
        <w:t>节水效益分享型：节水服务企业和用水户按照合同约定的节水目标和分成比例收回投资成本、分享节水效益的模式。</w:t>
      </w:r>
    </w:p>
    <w:p>
      <w:pPr>
        <w:keepNext w:val="0"/>
        <w:keepLines w:val="0"/>
        <w:pageBreakBefore w:val="0"/>
        <w:widowControl w:val="0"/>
        <w:kinsoku/>
        <w:wordWrap/>
        <w:overflowPunct/>
        <w:topLinePunct w:val="0"/>
        <w:autoSpaceDE/>
        <w:autoSpaceDN/>
        <w:bidi w:val="0"/>
        <w:adjustRightInd/>
        <w:snapToGrid/>
        <w:spacing w:line="320" w:lineRule="exact"/>
        <w:ind w:left="735" w:leftChars="350" w:right="0" w:rightChars="0"/>
        <w:jc w:val="both"/>
        <w:textAlignment w:val="auto"/>
        <w:outlineLvl w:val="9"/>
        <w:rPr>
          <w:rFonts w:ascii="仿宋" w:hAnsi="仿宋" w:eastAsia="仿宋" w:cs="仿宋"/>
          <w:color w:val="000000"/>
          <w:sz w:val="24"/>
          <w:szCs w:val="24"/>
        </w:rPr>
      </w:pPr>
      <w:r>
        <w:rPr>
          <w:rFonts w:hint="eastAsia" w:ascii="仿宋" w:hAnsi="仿宋" w:eastAsia="仿宋" w:cs="仿宋"/>
          <w:color w:val="000000"/>
          <w:sz w:val="24"/>
          <w:szCs w:val="24"/>
        </w:rPr>
        <w:t>节水效果保证型：节水服务企业与用水户签订节水效果保证合同，达到约定节水效果的，用水户支付节水改造费用，未达到约定节水效果的，由节水服务企业按合同对用水户进行补偿。</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720" w:firstLineChars="300"/>
        <w:jc w:val="both"/>
        <w:textAlignment w:val="auto"/>
        <w:outlineLvl w:val="9"/>
        <w:rPr>
          <w:rFonts w:ascii="仿宋" w:hAnsi="仿宋" w:eastAsia="仿宋" w:cs="仿宋"/>
          <w:color w:val="000000"/>
          <w:sz w:val="24"/>
          <w:szCs w:val="24"/>
        </w:rPr>
      </w:pPr>
      <w:r>
        <w:rPr>
          <w:rFonts w:hint="eastAsia" w:ascii="仿宋" w:hAnsi="仿宋" w:eastAsia="仿宋" w:cs="仿宋"/>
          <w:color w:val="000000"/>
          <w:sz w:val="24"/>
          <w:szCs w:val="24"/>
        </w:rPr>
        <w:t>用水费用托管型：用水户委托节水服务企业进行供用水系统的运行管理和节水改造，并按照合同约定支付用水托管费用。</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720" w:firstLineChars="300"/>
        <w:jc w:val="both"/>
        <w:textAlignment w:val="auto"/>
        <w:outlineLvl w:val="9"/>
      </w:pPr>
      <w:r>
        <w:rPr>
          <w:rFonts w:hint="eastAsia" w:ascii="仿宋" w:hAnsi="仿宋" w:eastAsia="仿宋" w:cs="仿宋"/>
          <w:color w:val="000000"/>
          <w:sz w:val="24"/>
          <w:szCs w:val="24"/>
        </w:rPr>
        <w:t>资源置换型：用水户委托节水服务企业进行节水改造，节水服务企业通过回收可利用资源获得补偿。</w:t>
      </w:r>
    </w:p>
    <w:sectPr>
      <w:pgSz w:w="16838" w:h="11906" w:orient="landscape"/>
      <w:pgMar w:top="1587" w:right="2098" w:bottom="1531" w:left="1020" w:header="851" w:footer="992" w:gutter="0"/>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宋体"/>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C7E1F"/>
    <w:rsid w:val="474C7E1F"/>
    <w:rsid w:val="71A502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customStyle="1" w:styleId="4">
    <w:name w:val="Table Normal"/>
    <w:unhideWhenUsed/>
    <w:qFormat/>
    <w:uiPriority w:val="2"/>
    <w:pPr>
      <w:widowControl w:val="0"/>
      <w:autoSpaceDE w:val="0"/>
      <w:autoSpaceDN w:val="0"/>
    </w:pPr>
    <w:rPr>
      <w:sz w:val="22"/>
      <w:lang w:eastAsia="en-US"/>
    </w:rPr>
    <w:tblPr>
      <w:tblLayout w:type="fixed"/>
      <w:tblCellMar>
        <w:top w:w="0" w:type="dxa"/>
        <w:left w:w="0" w:type="dxa"/>
        <w:bottom w:w="0" w:type="dxa"/>
        <w:right w:w="0" w:type="dxa"/>
      </w:tblCellMar>
    </w:tblPr>
  </w:style>
  <w:style w:type="paragraph" w:customStyle="1" w:styleId="5">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2022-04-25T06:40:00Z</dcterms:created>
  <dc:creator>Administrator</dc:creator>
  <cp:lastModifiedBy>Administrator</cp:lastModifiedBy>
  <dcterms:modified xsi:type="dcterms:W3CDTF">2022-04-25T06:40:59Z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